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left"/>
        <w:rPr>
          <w:rFonts w:hint="default" w:ascii="ＭＳ 明朝" w:hAnsi="ＭＳ 明朝"/>
        </w:rPr>
      </w:pPr>
      <w:r>
        <w:rPr>
          <w:rFonts w:hint="eastAsia" w:ascii="ＭＳ 明朝" w:hAnsi="ＭＳ 明朝"/>
        </w:rPr>
        <w:t>第</w:t>
      </w:r>
      <w:r>
        <w:rPr>
          <w:rFonts w:hint="eastAsia" w:ascii="ＭＳ 明朝" w:hAnsi="ＭＳ 明朝"/>
        </w:rPr>
        <w:t>12</w:t>
      </w:r>
      <w:r>
        <w:rPr>
          <w:rFonts w:hint="eastAsia" w:ascii="ＭＳ 明朝" w:hAnsi="ＭＳ 明朝"/>
        </w:rPr>
        <w:t>号様式（第</w:t>
      </w:r>
      <w:r>
        <w:rPr>
          <w:rFonts w:hint="eastAsia" w:ascii="ＭＳ 明朝" w:hAnsi="ＭＳ 明朝"/>
        </w:rPr>
        <w:t>15</w:t>
      </w:r>
      <w:r>
        <w:rPr>
          <w:rFonts w:hint="eastAsia" w:ascii="ＭＳ 明朝" w:hAnsi="ＭＳ 明朝"/>
        </w:rPr>
        <w:t>条関係）</w:t>
      </w:r>
    </w:p>
    <w:p>
      <w:pPr>
        <w:pStyle w:val="0"/>
        <w:autoSpaceDE w:val="0"/>
        <w:autoSpaceDN w:val="0"/>
        <w:rPr>
          <w:rFonts w:hint="default" w:ascii="ＭＳ 明朝" w:hAnsi="ＭＳ 明朝"/>
        </w:rPr>
      </w:pPr>
    </w:p>
    <w:p>
      <w:pPr>
        <w:pStyle w:val="0"/>
        <w:autoSpaceDE w:val="0"/>
        <w:autoSpaceDN w:val="0"/>
        <w:jc w:val="center"/>
        <w:rPr>
          <w:rFonts w:hint="default" w:ascii="ＭＳ 明朝" w:hAnsi="ＭＳ 明朝"/>
          <w:sz w:val="24"/>
        </w:rPr>
      </w:pPr>
      <w:r>
        <w:rPr>
          <w:rFonts w:hint="eastAsia" w:ascii="ＭＳ 明朝" w:hAnsi="ＭＳ 明朝"/>
          <w:sz w:val="24"/>
        </w:rPr>
        <w:t>原状回復等命令書</w:t>
      </w:r>
    </w:p>
    <w:p>
      <w:pPr>
        <w:pStyle w:val="0"/>
        <w:autoSpaceDE w:val="0"/>
        <w:autoSpaceDN w:val="0"/>
        <w:rPr>
          <w:rFonts w:hint="default" w:ascii="ＭＳ 明朝" w:hAnsi="ＭＳ 明朝"/>
        </w:rPr>
      </w:pPr>
    </w:p>
    <w:p>
      <w:pPr>
        <w:pStyle w:val="0"/>
        <w:autoSpaceDE w:val="0"/>
        <w:autoSpaceDN w:val="0"/>
        <w:jc w:val="right"/>
        <w:rPr>
          <w:rFonts w:hint="default" w:ascii="ＭＳ 明朝" w:hAnsi="ＭＳ 明朝"/>
          <w:sz w:val="22"/>
        </w:rPr>
      </w:pPr>
    </w:p>
    <w:p>
      <w:pPr>
        <w:pStyle w:val="0"/>
        <w:wordWrap w:val="0"/>
        <w:autoSpaceDE w:val="0"/>
        <w:autoSpaceDN w:val="0"/>
        <w:jc w:val="right"/>
        <w:rPr>
          <w:rFonts w:hint="default" w:ascii="ＭＳ 明朝" w:hAnsi="ＭＳ 明朝"/>
          <w:sz w:val="22"/>
        </w:rPr>
      </w:pPr>
      <w:r>
        <w:rPr>
          <w:rFonts w:hint="eastAsia" w:ascii="ＭＳ 明朝" w:hAnsi="ＭＳ 明朝"/>
          <w:sz w:val="22"/>
        </w:rPr>
        <w:t>　　年　　月　　日　</w:t>
      </w:r>
    </w:p>
    <w:p>
      <w:pPr>
        <w:pStyle w:val="0"/>
        <w:autoSpaceDE w:val="0"/>
        <w:autoSpaceDN w:val="0"/>
        <w:rPr>
          <w:rFonts w:hint="default" w:ascii="ＭＳ 明朝" w:hAnsi="ＭＳ 明朝"/>
          <w:sz w:val="22"/>
        </w:rPr>
      </w:pPr>
    </w:p>
    <w:p>
      <w:pPr>
        <w:pStyle w:val="0"/>
        <w:autoSpaceDE w:val="0"/>
        <w:autoSpaceDN w:val="0"/>
        <w:rPr>
          <w:rFonts w:hint="default" w:ascii="ＭＳ 明朝" w:hAnsi="ＭＳ 明朝"/>
          <w:sz w:val="22"/>
        </w:rPr>
      </w:pPr>
      <w:r>
        <w:rPr>
          <w:rFonts w:hint="eastAsia" w:ascii="ＭＳ 明朝" w:hAnsi="ＭＳ 明朝"/>
          <w:sz w:val="22"/>
        </w:rPr>
        <w:t>　　　　　　　　　　　　　様</w:t>
      </w:r>
    </w:p>
    <w:p>
      <w:pPr>
        <w:pStyle w:val="0"/>
        <w:autoSpaceDE w:val="0"/>
        <w:autoSpaceDN w:val="0"/>
        <w:rPr>
          <w:rFonts w:hint="default" w:ascii="ＭＳ 明朝" w:hAnsi="ＭＳ 明朝"/>
          <w:sz w:val="22"/>
        </w:rPr>
      </w:pPr>
    </w:p>
    <w:p>
      <w:pPr>
        <w:pStyle w:val="0"/>
        <w:autoSpaceDE w:val="0"/>
        <w:autoSpaceDN w:val="0"/>
        <w:ind w:left="5880" w:leftChars="2800"/>
        <w:rPr>
          <w:rFonts w:hint="default" w:ascii="ＭＳ 明朝" w:hAnsi="ＭＳ 明朝"/>
          <w:sz w:val="22"/>
        </w:rPr>
      </w:pPr>
      <w:r>
        <w:rPr>
          <w:rFonts w:hint="eastAsia" w:ascii="ＭＳ 明朝" w:hAnsi="ＭＳ 明朝"/>
          <w:sz w:val="22"/>
        </w:rPr>
        <w:t>松崎町長　　　　　　　　　　　印</w:t>
      </w:r>
    </w:p>
    <w:p>
      <w:pPr>
        <w:pStyle w:val="0"/>
        <w:autoSpaceDE w:val="0"/>
        <w:autoSpaceDN w:val="0"/>
        <w:rPr>
          <w:rFonts w:hint="default" w:ascii="ＭＳ 明朝" w:hAnsi="ＭＳ 明朝"/>
          <w:sz w:val="22"/>
        </w:rPr>
      </w:pPr>
    </w:p>
    <w:p>
      <w:pPr>
        <w:pStyle w:val="0"/>
        <w:autoSpaceDE w:val="0"/>
        <w:autoSpaceDN w:val="0"/>
        <w:rPr>
          <w:rFonts w:hint="default" w:ascii="ＭＳ 明朝" w:hAnsi="ＭＳ 明朝"/>
          <w:sz w:val="22"/>
        </w:rPr>
      </w:pPr>
      <w:r>
        <w:rPr>
          <w:rFonts w:hint="eastAsia" w:ascii="ＭＳ 明朝" w:hAnsi="ＭＳ 明朝"/>
          <w:sz w:val="22"/>
        </w:rPr>
        <w:t>　　　　　年　　月　　日付けによる変更等の命令に係る行為について、景観法第</w:t>
      </w:r>
      <w:r>
        <w:rPr>
          <w:rFonts w:hint="eastAsia" w:ascii="ＭＳ 明朝" w:hAnsi="ＭＳ 明朝"/>
          <w:sz w:val="22"/>
        </w:rPr>
        <w:t>17</w:t>
      </w:r>
      <w:r>
        <w:rPr>
          <w:rFonts w:hint="eastAsia" w:ascii="ＭＳ 明朝" w:hAnsi="ＭＳ 明朝"/>
          <w:sz w:val="22"/>
        </w:rPr>
        <w:t>条第５項の規定により、原状回復又はこれに代わるべき措置をとることを命じます。</w:t>
      </w:r>
    </w:p>
    <w:p>
      <w:pPr>
        <w:pStyle w:val="0"/>
        <w:autoSpaceDE w:val="0"/>
        <w:autoSpaceDN w:val="0"/>
        <w:ind w:firstLine="220" w:firstLineChars="100"/>
        <w:rPr>
          <w:rFonts w:hint="default" w:ascii="ＭＳ 明朝" w:hAnsi="ＭＳ 明朝"/>
          <w:sz w:val="22"/>
        </w:rPr>
      </w:pPr>
      <w:r>
        <w:rPr>
          <w:rFonts w:hint="eastAsia" w:ascii="ＭＳ 明朝" w:hAnsi="ＭＳ 明朝"/>
          <w:sz w:val="22"/>
        </w:rPr>
        <w:t>なお、この命令に従わない場合は、景観法第</w:t>
      </w:r>
      <w:r>
        <w:rPr>
          <w:rFonts w:hint="eastAsia" w:ascii="ＭＳ 明朝" w:hAnsi="ＭＳ 明朝"/>
          <w:sz w:val="22"/>
        </w:rPr>
        <w:t>101</w:t>
      </w:r>
      <w:r>
        <w:rPr>
          <w:rFonts w:hint="eastAsia" w:ascii="ＭＳ 明朝" w:hAnsi="ＭＳ 明朝"/>
          <w:sz w:val="22"/>
        </w:rPr>
        <w:t>条の規定により、１年以下の懲役又は</w:t>
      </w:r>
      <w:r>
        <w:rPr>
          <w:rFonts w:hint="eastAsia" w:ascii="ＭＳ 明朝" w:hAnsi="ＭＳ 明朝"/>
          <w:sz w:val="22"/>
        </w:rPr>
        <w:t>50</w:t>
      </w:r>
      <w:r>
        <w:rPr>
          <w:rFonts w:hint="eastAsia" w:ascii="ＭＳ 明朝" w:hAnsi="ＭＳ 明朝"/>
          <w:sz w:val="22"/>
        </w:rPr>
        <w:t>万円以下の罰金に処されることがあります。</w:t>
      </w:r>
    </w:p>
    <w:p>
      <w:pPr>
        <w:pStyle w:val="0"/>
        <w:autoSpaceDE w:val="0"/>
        <w:autoSpaceDN w:val="0"/>
        <w:rPr>
          <w:rFonts w:hint="default" w:ascii="ＭＳ 明朝" w:hAnsi="ＭＳ 明朝"/>
          <w:sz w:val="22"/>
        </w:rPr>
      </w:pPr>
    </w:p>
    <w:tbl>
      <w:tblPr>
        <w:tblStyle w:val="11"/>
        <w:tblW w:w="91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470"/>
        <w:gridCol w:w="7665"/>
      </w:tblGrid>
      <w:tr>
        <w:trPr>
          <w:trHeight w:val="567" w:hRule="atLeast"/>
        </w:trPr>
        <w:tc>
          <w:tcPr>
            <w:tcW w:w="1470"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命令の対象となる行為</w:t>
            </w:r>
          </w:p>
        </w:tc>
        <w:tc>
          <w:tcPr>
            <w:tcW w:w="7665" w:type="dxa"/>
            <w:shd w:val="clear" w:color="auto" w:fill="auto"/>
            <w:vAlign w:val="center"/>
          </w:tcPr>
          <w:p>
            <w:pPr>
              <w:pStyle w:val="0"/>
              <w:autoSpaceDE w:val="0"/>
              <w:autoSpaceDN w:val="0"/>
              <w:jc w:val="left"/>
              <w:rPr>
                <w:rFonts w:hint="default" w:ascii="ＭＳ 明朝" w:hAnsi="ＭＳ 明朝"/>
              </w:rPr>
            </w:pPr>
          </w:p>
        </w:tc>
      </w:tr>
      <w:tr>
        <w:trPr>
          <w:trHeight w:val="1134" w:hRule="atLeast"/>
        </w:trPr>
        <w:tc>
          <w:tcPr>
            <w:tcW w:w="1470"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命令の理由</w:t>
            </w:r>
          </w:p>
        </w:tc>
        <w:tc>
          <w:tcPr>
            <w:tcW w:w="7665" w:type="dxa"/>
            <w:shd w:val="clear" w:color="auto" w:fill="auto"/>
            <w:vAlign w:val="center"/>
          </w:tcPr>
          <w:p>
            <w:pPr>
              <w:pStyle w:val="0"/>
              <w:autoSpaceDE w:val="0"/>
              <w:autoSpaceDN w:val="0"/>
              <w:rPr>
                <w:rFonts w:hint="default" w:ascii="ＭＳ 明朝" w:hAnsi="ＭＳ 明朝"/>
              </w:rPr>
            </w:pPr>
          </w:p>
        </w:tc>
      </w:tr>
      <w:tr>
        <w:trPr>
          <w:trHeight w:val="1134" w:hRule="atLeast"/>
        </w:trPr>
        <w:tc>
          <w:tcPr>
            <w:tcW w:w="1470"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とるべき</w:t>
            </w:r>
          </w:p>
          <w:p>
            <w:pPr>
              <w:pStyle w:val="0"/>
              <w:autoSpaceDE w:val="0"/>
              <w:autoSpaceDN w:val="0"/>
              <w:jc w:val="center"/>
              <w:rPr>
                <w:rFonts w:hint="default" w:ascii="ＭＳ 明朝" w:hAnsi="ＭＳ 明朝"/>
                <w:kern w:val="0"/>
              </w:rPr>
            </w:pPr>
            <w:r>
              <w:rPr>
                <w:rFonts w:hint="eastAsia" w:ascii="ＭＳ 明朝" w:hAnsi="ＭＳ 明朝"/>
                <w:kern w:val="0"/>
              </w:rPr>
              <w:t>措置</w:t>
            </w:r>
          </w:p>
        </w:tc>
        <w:tc>
          <w:tcPr>
            <w:tcW w:w="7665" w:type="dxa"/>
            <w:shd w:val="clear" w:color="auto" w:fill="auto"/>
            <w:vAlign w:val="center"/>
          </w:tcPr>
          <w:p>
            <w:pPr>
              <w:pStyle w:val="0"/>
              <w:autoSpaceDE w:val="0"/>
              <w:autoSpaceDN w:val="0"/>
              <w:rPr>
                <w:rFonts w:hint="default" w:ascii="ＭＳ 明朝" w:hAnsi="ＭＳ 明朝"/>
              </w:rPr>
            </w:pPr>
          </w:p>
        </w:tc>
      </w:tr>
      <w:tr>
        <w:trPr>
          <w:trHeight w:val="567" w:hRule="atLeast"/>
        </w:trPr>
        <w:tc>
          <w:tcPr>
            <w:tcW w:w="1470"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履行期限</w:t>
            </w:r>
          </w:p>
        </w:tc>
        <w:tc>
          <w:tcPr>
            <w:tcW w:w="7665" w:type="dxa"/>
            <w:shd w:val="clear" w:color="auto" w:fill="auto"/>
            <w:vAlign w:val="center"/>
          </w:tcPr>
          <w:p>
            <w:pPr>
              <w:pStyle w:val="0"/>
              <w:autoSpaceDE w:val="0"/>
              <w:autoSpaceDN w:val="0"/>
              <w:jc w:val="center"/>
              <w:rPr>
                <w:rFonts w:hint="default" w:ascii="ＭＳ 明朝" w:hAnsi="ＭＳ 明朝"/>
              </w:rPr>
            </w:pPr>
            <w:r>
              <w:rPr>
                <w:rFonts w:hint="default" w:ascii="ＭＳ 明朝" w:hAnsi="ＭＳ 明朝"/>
              </w:rPr>
              <w:t>年　　月　　日</w:t>
            </w:r>
          </w:p>
        </w:tc>
      </w:tr>
      <w:tr>
        <w:trPr>
          <w:trHeight w:val="567" w:hRule="atLeast"/>
        </w:trPr>
        <w:tc>
          <w:tcPr>
            <w:tcW w:w="1470"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報告期限</w:t>
            </w:r>
          </w:p>
        </w:tc>
        <w:tc>
          <w:tcPr>
            <w:tcW w:w="7665" w:type="dxa"/>
            <w:shd w:val="clear" w:color="auto" w:fill="auto"/>
            <w:vAlign w:val="center"/>
          </w:tcPr>
          <w:p>
            <w:pPr>
              <w:pStyle w:val="0"/>
              <w:autoSpaceDE w:val="0"/>
              <w:autoSpaceDN w:val="0"/>
              <w:jc w:val="center"/>
              <w:rPr>
                <w:rFonts w:hint="default" w:ascii="ＭＳ 明朝" w:hAnsi="ＭＳ 明朝"/>
              </w:rPr>
            </w:pPr>
            <w:r>
              <w:rPr>
                <w:rFonts w:hint="default" w:ascii="ＭＳ 明朝" w:hAnsi="ＭＳ 明朝"/>
              </w:rPr>
              <w:t>年　　月　　日</w:t>
            </w:r>
          </w:p>
        </w:tc>
      </w:tr>
    </w:tbl>
    <w:p>
      <w:pPr>
        <w:pStyle w:val="0"/>
        <w:autoSpaceDE w:val="0"/>
        <w:autoSpaceDN w:val="0"/>
        <w:ind w:left="210" w:leftChars="100"/>
        <w:rPr>
          <w:rFonts w:hint="default" w:ascii="ＭＳ 明朝" w:hAnsi="ＭＳ 明朝"/>
          <w:sz w:val="18"/>
        </w:rPr>
      </w:pPr>
      <w:r>
        <w:rPr>
          <w:rFonts w:hint="eastAsia" w:ascii="ＭＳ 明朝" w:hAnsi="ＭＳ 明朝"/>
          <w:sz w:val="18"/>
        </w:rPr>
        <w:t>※とった措置の内容が確認できる図書及び写真を添付すること。</w:t>
      </w:r>
    </w:p>
    <w:p>
      <w:pPr>
        <w:pStyle w:val="0"/>
        <w:autoSpaceDE w:val="0"/>
        <w:autoSpaceDN w:val="0"/>
        <w:spacing w:line="300" w:lineRule="exact"/>
        <w:ind w:left="0" w:leftChars="0" w:firstLine="0" w:firstLineChars="0"/>
        <w:rPr>
          <w:rFonts w:hint="eastAsia" w:ascii="ＭＳ 明朝" w:hAnsi="ＭＳ 明朝"/>
          <w:sz w:val="18"/>
        </w:rPr>
      </w:pPr>
      <w:r>
        <w:rPr>
          <w:rFonts w:hint="eastAsia" w:ascii="ＭＳ 明朝" w:hAnsi="ＭＳ 明朝"/>
          <w:sz w:val="18"/>
        </w:rPr>
        <w:t>（教示）</w:t>
      </w:r>
    </w:p>
    <w:p>
      <w:pPr>
        <w:pStyle w:val="0"/>
        <w:autoSpaceDE w:val="0"/>
        <w:autoSpaceDN w:val="0"/>
        <w:spacing w:line="300" w:lineRule="exact"/>
        <w:ind w:left="0" w:leftChars="0" w:firstLine="180" w:firstLineChars="100"/>
        <w:rPr>
          <w:rFonts w:hint="eastAsia" w:ascii="ＭＳ 明朝" w:hAnsi="ＭＳ 明朝"/>
          <w:sz w:val="18"/>
        </w:rPr>
      </w:pPr>
      <w:bookmarkStart w:id="0" w:name="_GoBack"/>
      <w:bookmarkEnd w:id="0"/>
      <w:r>
        <w:rPr>
          <w:rFonts w:hint="eastAsia" w:ascii="ＭＳ 明朝" w:hAnsi="ＭＳ 明朝"/>
          <w:sz w:val="18"/>
        </w:rPr>
        <w:t>この決定に不服がある場合には、この決定があったことを知った日の翌日から起算して３月以内に、松崎町長に対して審査請求をすることができます</w:t>
      </w:r>
      <w:r>
        <w:rPr>
          <w:rFonts w:hint="eastAsia" w:ascii="ＭＳ 明朝" w:hAnsi="ＭＳ 明朝"/>
          <w:sz w:val="18"/>
        </w:rPr>
        <w:t>(</w:t>
      </w:r>
      <w:r>
        <w:rPr>
          <w:rFonts w:hint="eastAsia" w:ascii="ＭＳ 明朝" w:hAnsi="ＭＳ 明朝"/>
          <w:sz w:val="18"/>
        </w:rPr>
        <w:t>なお、この決定があったことを知った日の翌日から起算して３月以内であっても、この決定の日の翌日から起算して１年を経過したときは、審査請求をすることができなくなります。</w:t>
      </w:r>
      <w:r>
        <w:rPr>
          <w:rFonts w:hint="eastAsia" w:ascii="ＭＳ 明朝" w:hAnsi="ＭＳ 明朝"/>
          <w:sz w:val="18"/>
        </w:rPr>
        <w:t>)</w:t>
      </w:r>
      <w:r>
        <w:rPr>
          <w:rFonts w:hint="eastAsia" w:ascii="ＭＳ 明朝" w:hAnsi="ＭＳ 明朝"/>
          <w:sz w:val="18"/>
        </w:rPr>
        <w:t>。</w:t>
      </w:r>
    </w:p>
    <w:p>
      <w:pPr>
        <w:pStyle w:val="0"/>
        <w:autoSpaceDE w:val="0"/>
        <w:autoSpaceDN w:val="0"/>
        <w:spacing w:line="300" w:lineRule="exact"/>
        <w:ind w:left="0" w:leftChars="0" w:firstLine="0" w:firstLineChars="0"/>
        <w:rPr>
          <w:rFonts w:hint="default" w:ascii="ＭＳ 明朝" w:hAnsi="ＭＳ 明朝"/>
          <w:sz w:val="18"/>
        </w:rPr>
      </w:pPr>
      <w:r>
        <w:rPr>
          <w:rFonts w:hint="eastAsia" w:ascii="ＭＳ 明朝" w:hAnsi="ＭＳ 明朝"/>
          <w:sz w:val="18"/>
        </w:rPr>
        <w:t>　この決定については、この決定があったことを知った日の翌日から起算して６月以内に松崎町を被告</w:t>
      </w:r>
      <w:r>
        <w:rPr>
          <w:rFonts w:hint="eastAsia" w:ascii="ＭＳ 明朝" w:hAnsi="ＭＳ 明朝"/>
          <w:sz w:val="18"/>
        </w:rPr>
        <w:t>(</w:t>
      </w:r>
      <w:r>
        <w:rPr>
          <w:rFonts w:hint="eastAsia" w:ascii="ＭＳ 明朝" w:hAnsi="ＭＳ 明朝"/>
          <w:sz w:val="18"/>
        </w:rPr>
        <w:t>訴訟において松崎町を代表する者は松崎町長となります。</w:t>
      </w:r>
      <w:r>
        <w:rPr>
          <w:rFonts w:hint="eastAsia" w:ascii="ＭＳ 明朝" w:hAnsi="ＭＳ 明朝"/>
          <w:sz w:val="18"/>
        </w:rPr>
        <w:t>)</w:t>
      </w:r>
      <w:r>
        <w:rPr>
          <w:rFonts w:hint="eastAsia" w:ascii="ＭＳ 明朝" w:hAnsi="ＭＳ 明朝"/>
          <w:sz w:val="18"/>
        </w:rPr>
        <w:t>として、決定の取消しの訴えを提起することができます</w:t>
      </w:r>
      <w:r>
        <w:rPr>
          <w:rFonts w:hint="eastAsia" w:ascii="ＭＳ 明朝" w:hAnsi="ＭＳ 明朝"/>
          <w:sz w:val="18"/>
        </w:rPr>
        <w:t>(</w:t>
      </w:r>
      <w:r>
        <w:rPr>
          <w:rFonts w:hint="eastAsia" w:ascii="ＭＳ 明朝" w:hAnsi="ＭＳ 明朝"/>
          <w:sz w:val="18"/>
        </w:rPr>
        <w:t>なお、この決定があったことを知った日の翌日から起算して６月以内であっても、この決定の日の翌日から起算して１年を経過したときは、決定の取消しの訴えを提起することができなくなります。</w:t>
      </w:r>
      <w:r>
        <w:rPr>
          <w:rFonts w:hint="eastAsia" w:ascii="ＭＳ 明朝" w:hAnsi="ＭＳ 明朝"/>
          <w:sz w:val="18"/>
        </w:rPr>
        <w:t>)</w:t>
      </w:r>
      <w:r>
        <w:rPr>
          <w:rFonts w:hint="eastAsia" w:ascii="ＭＳ 明朝" w:hAnsi="ＭＳ 明朝"/>
          <w:sz w:val="18"/>
        </w:rPr>
        <w:t>。ただし、審査請求をした場合には、当該審査請求に対する裁決があったことを知った日の翌日から起算して６月以内で、当該裁決の日の翌日から起算して１年以内のときに、決定の取消しの訴えを提起することができます。</w:t>
      </w:r>
    </w:p>
    <w:sectPr>
      <w:pgSz w:w="11906" w:h="16838"/>
      <w:pgMar w:top="1021" w:right="1134" w:bottom="102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5</Words>
  <Characters>671</Characters>
  <Application>JUST Note</Application>
  <Lines>39</Lines>
  <Paragraphs>19</Paragraphs>
  <CharactersWithSpaces>720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松本 みなみ</cp:lastModifiedBy>
  <dcterms:modified xsi:type="dcterms:W3CDTF">2021-05-18T01:37:00Z</dcterms:modified>
  <cp:revision>0</cp:revision>
</cp:coreProperties>
</file>